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#143</w:t>
      </w:r>
      <w:r>
        <w:rPr>
          <w:b/>
          <w:bCs/>
          <w:sz w:val="24"/>
        </w:rPr>
        <w:t>E (e-meeting)</w:t>
      </w:r>
      <w:r>
        <w:rPr>
          <w:b/>
          <w:i/>
          <w:noProof/>
          <w:sz w:val="28"/>
        </w:rPr>
        <w:tab/>
        <w:t>S2-2100469</w:t>
      </w:r>
    </w:p>
    <w:p>
      <w:pPr>
        <w:pStyle w:val="CRCoverPage"/>
        <w:tabs>
          <w:tab w:val="right" w:pos="9639"/>
        </w:tabs>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2583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16.7.0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PMF enhancements to support per QoS Flow measurements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 Lenovo, Motorola Mobility, Broadcom</w:t>
            </w:r>
            <w:r>
              <w:t>, Huawei</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bookmarkStart w:id="1" w:name="_GoBack"/>
            <w:bookmarkEnd w:id="1"/>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2017-02-18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According to conclusion of TR 23.</w:t>
            </w:r>
            <w:r>
              <w:rPr>
                <w:noProof/>
                <w:lang w:eastAsia="ko-KR"/>
              </w:rPr>
              <w:t>700-93, PMF needs to be enhanced to support RTT and PLR measurement per QoS Flow.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Update description to support per QoS Flow measurements.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Cannot support per QoS Flow measurements.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5.32.5.1, 5.32.5.2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rPr>
          <w:rFonts w:ascii="Arial" w:hAnsi="Arial" w:cs="Arial"/>
          <w:color w:val="BFBFBF" w:themeColor="background1" w:themeShade="BF"/>
          <w:sz w:val="28"/>
          <w:szCs w:val="28"/>
        </w:rPr>
      </w:pPr>
      <w:bookmarkStart w:id="2" w:name="_Toc20150136"/>
      <w:bookmarkStart w:id="3" w:name="_Toc27846938"/>
      <w:bookmarkStart w:id="4" w:name="_Toc36188069"/>
      <w:bookmarkStart w:id="5" w:name="_Toc45183974"/>
      <w:bookmarkStart w:id="6" w:name="_Toc47342816"/>
      <w:bookmarkStart w:id="7" w:name="_Toc51769518"/>
      <w:bookmarkStart w:id="8" w:name="_Toc59095870"/>
      <w:r>
        <w:rPr>
          <w:rFonts w:ascii="Arial" w:hAnsi="Arial" w:cs="Arial"/>
          <w:color w:val="BFBFBF" w:themeColor="background1" w:themeShade="BF"/>
          <w:sz w:val="28"/>
          <w:szCs w:val="28"/>
        </w:rPr>
        <w:t>5.32.5</w:t>
      </w:r>
      <w:r>
        <w:rPr>
          <w:rFonts w:ascii="Arial" w:hAnsi="Arial" w:cs="Arial"/>
          <w:color w:val="BFBFBF" w:themeColor="background1" w:themeShade="BF"/>
          <w:sz w:val="28"/>
          <w:szCs w:val="28"/>
        </w:rPr>
        <w:tab/>
        <w:t>Access Network Performance Measurements</w:t>
      </w:r>
      <w:bookmarkEnd w:id="2"/>
      <w:bookmarkEnd w:id="3"/>
      <w:bookmarkEnd w:id="4"/>
      <w:bookmarkEnd w:id="5"/>
      <w:bookmarkEnd w:id="6"/>
      <w:bookmarkEnd w:id="7"/>
      <w:bookmarkEnd w:id="8"/>
    </w:p>
    <w:p>
      <w:pPr>
        <w:keepNext/>
        <w:keepLines/>
        <w:spacing w:before="120"/>
        <w:ind w:left="1418" w:hanging="1418"/>
        <w:outlineLvl w:val="3"/>
        <w:rPr>
          <w:rFonts w:ascii="Arial" w:eastAsia="맑은 고딕" w:hAnsi="Arial"/>
          <w:sz w:val="24"/>
        </w:rPr>
      </w:pPr>
      <w:bookmarkStart w:id="9" w:name="_Toc20150137"/>
      <w:bookmarkStart w:id="10" w:name="_Toc27846939"/>
      <w:bookmarkStart w:id="11" w:name="_Toc36188070"/>
      <w:bookmarkStart w:id="12" w:name="_Toc45183975"/>
      <w:bookmarkStart w:id="13" w:name="_Toc47342817"/>
      <w:bookmarkStart w:id="14" w:name="_Toc51769519"/>
      <w:bookmarkStart w:id="15" w:name="_Toc59095871"/>
      <w:r>
        <w:rPr>
          <w:rFonts w:ascii="Arial" w:eastAsia="맑은 고딕" w:hAnsi="Arial"/>
          <w:sz w:val="24"/>
        </w:rPr>
        <w:t>5.32.5.1</w:t>
      </w:r>
      <w:r>
        <w:rPr>
          <w:rFonts w:ascii="Arial" w:eastAsia="맑은 고딕" w:hAnsi="Arial"/>
          <w:sz w:val="24"/>
        </w:rPr>
        <w:tab/>
        <w:t>General principles</w:t>
      </w:r>
      <w:bookmarkEnd w:id="9"/>
      <w:bookmarkEnd w:id="10"/>
      <w:bookmarkEnd w:id="11"/>
      <w:bookmarkEnd w:id="12"/>
      <w:bookmarkEnd w:id="13"/>
      <w:bookmarkEnd w:id="14"/>
      <w:bookmarkEnd w:id="15"/>
    </w:p>
    <w:p>
      <w:pPr>
        <w:rPr>
          <w:rFonts w:eastAsia="맑은 고딕"/>
        </w:rPr>
      </w:pPr>
      <w:r>
        <w:rPr>
          <w:rFonts w:eastAsia="맑은 고딕"/>
        </w:rP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pPr>
        <w:rPr>
          <w:rFonts w:eastAsia="맑은 고딕"/>
        </w:rPr>
      </w:pPr>
      <w:r>
        <w:rPr>
          <w:rFonts w:eastAsia="맑은 고딕"/>
        </w:rPr>
        <w:t>Measurement Assistance Information shall include the addressing information of a Performance Measurement Function (PMF) in the UPF, the UE can send PMF protocol messages to:</w:t>
      </w:r>
    </w:p>
    <w:p>
      <w:pPr>
        <w:ind w:left="568" w:hanging="284"/>
        <w:rPr>
          <w:rFonts w:eastAsia="맑은 고딕"/>
        </w:rPr>
      </w:pPr>
      <w:r>
        <w:rPr>
          <w:rFonts w:eastAsia="맑은 고딕"/>
        </w:rPr>
        <w:t>-</w:t>
      </w:r>
      <w:r>
        <w:rPr>
          <w:rFonts w:eastAsia="맑은 고딕"/>
        </w:rPr>
        <w:tab/>
        <w:t>For a PDU Session of IP type, Measurement Assistance Information contains one IP address for the PMF, one UDP port associated with 3GPP access and another UDP port associated with non-3GPP access;</w:t>
      </w:r>
    </w:p>
    <w:p>
      <w:pPr>
        <w:ind w:left="568" w:hanging="284"/>
        <w:rPr>
          <w:rFonts w:eastAsia="맑은 고딕"/>
        </w:rPr>
      </w:pPr>
      <w:r>
        <w:rPr>
          <w:rFonts w:eastAsia="맑은 고딕"/>
        </w:rPr>
        <w:t>-</w:t>
      </w:r>
      <w:r>
        <w:rPr>
          <w:rFonts w:eastAsia="맑은 고딕"/>
        </w:rPr>
        <w:tab/>
        <w:t>For a PDU Session of Ethernet type, Measurement Assistance Information contains one MAC address associated with 3GPP access and another MAC address associated with non-3GPP access.</w:t>
      </w:r>
    </w:p>
    <w:p>
      <w:pPr>
        <w:keepLines/>
        <w:ind w:left="1135" w:hanging="851"/>
        <w:rPr>
          <w:rFonts w:eastAsia="맑은 고딕"/>
        </w:rPr>
      </w:pPr>
      <w:r>
        <w:rPr>
          <w:rFonts w:eastAsia="맑은 고딕"/>
        </w:rPr>
        <w:t>NOTE 1:</w:t>
      </w:r>
      <w:r>
        <w:rPr>
          <w:rFonts w:eastAsia="맑은 고딕"/>
        </w:rPr>
        <w:tab/>
        <w:t>To protect the PMF in the UPF (e.g. to block DDOS to the PMF), the IP addresses of the PMF are only accessible from the UE IP address via the N3/N9 interface.</w:t>
      </w:r>
    </w:p>
    <w:p>
      <w:pPr>
        <w:keepLines/>
        <w:ind w:left="1135" w:hanging="851"/>
        <w:rPr>
          <w:rFonts w:eastAsia="맑은 고딕"/>
        </w:rPr>
      </w:pPr>
      <w:r>
        <w:rPr>
          <w:rFonts w:eastAsia="맑은 고딕"/>
        </w:rPr>
        <w:t>NOTE 2:</w:t>
      </w:r>
      <w:r>
        <w:rPr>
          <w:rFonts w:eastAsia="맑은 고딕"/>
        </w:rPr>
        <w:tab/>
        <w:t>After the MA PDU Session is released, the same UE IP address/prefix is not allocated to another UE for MA PDU Session in a short time.</w:t>
      </w:r>
    </w:p>
    <w:p>
      <w:pPr>
        <w:rPr>
          <w:ins w:id="16" w:author="Myungjune@LGE" w:date="2021-02-18T14:55:00Z"/>
          <w:rFonts w:eastAsia="맑은 고딕"/>
        </w:rPr>
      </w:pPr>
      <w:ins w:id="17" w:author="Myungjune@LGE" w:date="2021-02-18T14:55:00Z">
        <w:r>
          <w:rPr>
            <w:rFonts w:eastAsia="맑은 고딕"/>
          </w:rP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ins>
    </w:p>
    <w:p>
      <w:pPr>
        <w:rPr>
          <w:ins w:id="18" w:author="Myungjune@LGE" w:date="2021-02-18T14:56:00Z"/>
          <w:rFonts w:eastAsia="맑은 고딕"/>
        </w:rPr>
      </w:pPr>
      <w:ins w:id="19" w:author="Myungjune@LGE" w:date="2021-02-18T14:55:00Z">
        <w:r>
          <w:rPr>
            <w:rFonts w:eastAsia="맑은 고딕"/>
          </w:rPr>
          <w:t xml:space="preserve">If the UE and the UPF decide to initiate access performance measurements to estimate the RTT and/or the PLR for an SDF, the access performance measurements shall be performed either (a) using the default QoS Flow, or (b) using the "target" QoS Flow, which is the QoS Flow that the SDF traffic is transmitted on. The UE shall perform access performance measurements based on (b) only when this is explicitly indicated in the Measurement Assistance Information. Otherwise, the UE shall perform access performance measurements based on (a). </w:t>
        </w:r>
        <w:r>
          <w:rPr>
            <w:rFonts w:eastAsia="맑은 고딕"/>
            <w:highlight w:val="yellow"/>
            <w:rPrChange w:id="20" w:author="Myungjune@LGE" w:date="2021-02-18T14:56:00Z">
              <w:rPr>
                <w:rFonts w:eastAsia="맑은 고딕"/>
              </w:rPr>
            </w:rPrChange>
          </w:rPr>
          <w:t>[What information is provided to UPF for this purpose? We need to add something here]</w:t>
        </w:r>
      </w:ins>
    </w:p>
    <w:p>
      <w:pPr>
        <w:pStyle w:val="EditorsNote"/>
        <w:rPr>
          <w:ins w:id="21" w:author="Myungjune@LGE" w:date="2021-02-18T14:56:00Z"/>
        </w:rPr>
      </w:pPr>
      <w:ins w:id="22" w:author="Myungjune@LGE" w:date="2021-02-18T14:56:00Z">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ins>
    </w:p>
    <w:p>
      <w:pPr>
        <w:rPr>
          <w:ins w:id="23" w:author="Myungjune@LGE" w:date="2021-02-18T14:56:00Z"/>
          <w:rFonts w:eastAsia="맑은 고딕"/>
        </w:rPr>
      </w:pPr>
      <w:ins w:id="24" w:author="Myungjune@LGE" w:date="2021-02-18T14:56:00Z">
        <w:r>
          <w:rPr>
            <w:rFonts w:eastAsia="맑은 고딕"/>
          </w:rPr>
          <w:t>The UE and the UPF may decide not to initiate access performance measurements using the target QFI-x, when they already have access performance measurements for the target QFI-y and they determine (based on their implementation) that these access performance measurements can also be applied for QFI-x. For example, the UE may determine that QFI-x and QFI-y are mapped to the same AN resource, or the UPF may determine from past measurements that the access performance measurements on QFI-x and QFI-y deliver almost the same results.</w:t>
        </w:r>
      </w:ins>
    </w:p>
    <w:p>
      <w:pPr>
        <w:rPr>
          <w:ins w:id="25" w:author="Myungjune@LGE" w:date="2021-02-18T14:56:00Z"/>
          <w:rFonts w:eastAsia="맑은 고딕"/>
        </w:rPr>
      </w:pPr>
      <w:ins w:id="26" w:author="Myungjune@LGE" w:date="2021-02-18T14:56:00Z">
        <w:r>
          <w:rPr>
            <w:rFonts w:eastAsia="맑은 고딕"/>
          </w:rPr>
          <w:t>When the access performance measurements for an SDF are performed based on (b), then:</w:t>
        </w:r>
      </w:ins>
    </w:p>
    <w:p>
      <w:pPr>
        <w:pStyle w:val="B1"/>
        <w:rPr>
          <w:ins w:id="27" w:author="Myungjune@LGE" w:date="2021-02-18T14:56:00Z"/>
        </w:rPr>
      </w:pPr>
      <w:ins w:id="28" w:author="Myungjune@LGE" w:date="2021-02-18T14:56:00Z">
        <w:r>
          <w:t>-</w:t>
        </w:r>
        <w:r>
          <w:tab/>
          <w:t>The UE and the UPF determine the target QoS Flow by using implementation-specific mechanisms, e.g. by examining the QoS rules and finding a QoS rule matching the SDF.</w:t>
        </w:r>
      </w:ins>
    </w:p>
    <w:p>
      <w:pPr>
        <w:pStyle w:val="B1"/>
        <w:rPr>
          <w:ins w:id="29" w:author="Myungjune@LGE" w:date="2021-02-18T14:56:00Z"/>
        </w:rPr>
      </w:pPr>
      <w:ins w:id="30" w:author="Myungjune@LGE" w:date="2021-02-18T14:56:00Z">
        <w:r>
          <w:t>-</w:t>
        </w:r>
        <w:r>
          <w:tab/>
          <w:t xml:space="preserve">The PMF messages that should be sent on the target QoS Flow include the target QFI in their headers. </w:t>
        </w:r>
      </w:ins>
    </w:p>
    <w:p>
      <w:pPr>
        <w:pStyle w:val="EditorsNote"/>
        <w:rPr>
          <w:ins w:id="31" w:author="Myungjune@LGE" w:date="2021-02-18T14:55:00Z"/>
        </w:rPr>
      </w:pPr>
      <w:ins w:id="32" w:author="Myungjune@LGE" w:date="2021-02-18T14:56:00Z">
        <w:r>
          <w:t>Editor's Note:</w:t>
        </w:r>
        <w:r>
          <w:tab/>
          <w:t>The above bullet is FFS. For transmitting the PMF messages over the target QoS Flow, different alternatives have been identified, e.g. (a) using different PMF addresses/ports for each QoS Flow, or (b) using the same PMF address/port for all QoS Flows and include QFI in the PMF message header.</w:t>
        </w:r>
      </w:ins>
    </w:p>
    <w:p>
      <w:pPr>
        <w:rPr>
          <w:rFonts w:eastAsia="맑은 고딕"/>
        </w:rPr>
      </w:pPr>
      <w:r>
        <w:rPr>
          <w:rFonts w:eastAsia="맑은 고딕"/>
        </w:rPr>
        <w:lastRenderedPageBreak/>
        <w:t>The addressing information of the PMF in the UPF is retrieved by the SMF from the UPF during N4 session establishment.</w:t>
      </w:r>
    </w:p>
    <w:p>
      <w:pPr>
        <w:rPr>
          <w:rFonts w:eastAsia="맑은 고딕"/>
        </w:rPr>
      </w:pPr>
      <w:r>
        <w:rPr>
          <w:rFonts w:eastAsia="맑은 고딕"/>
        </w:rPr>
        <w:t>The following PMF protocol messages can be exchanged between the UE and the PMF:</w:t>
      </w:r>
    </w:p>
    <w:p>
      <w:pPr>
        <w:ind w:left="568" w:hanging="284"/>
        <w:rPr>
          <w:ins w:id="33" w:author="Myungjune@LGE" w:date="2021-02-18T14:57:00Z"/>
          <w:rFonts w:eastAsia="맑은 고딕"/>
        </w:rPr>
      </w:pPr>
      <w:r>
        <w:rPr>
          <w:rFonts w:eastAsia="맑은 고딕"/>
        </w:rPr>
        <w:t>-</w:t>
      </w:r>
      <w:r>
        <w:rPr>
          <w:rFonts w:eastAsia="맑은 고딕"/>
        </w:rPr>
        <w:tab/>
        <w:t xml:space="preserve">Messages to allow for Round Trip Time (RTT) measurements, i.e. when the "Smallest Delay" </w:t>
      </w:r>
      <w:ins w:id="34" w:author="Myungjune@LGE" w:date="2021-02-18T14:56:00Z">
        <w:r>
          <w:rPr>
            <w:rFonts w:eastAsia="맑은 고딕"/>
          </w:rPr>
          <w:t xml:space="preserve">or "Load-Balancing" </w:t>
        </w:r>
      </w:ins>
      <w:r>
        <w:rPr>
          <w:rFonts w:eastAsia="맑은 고딕"/>
        </w:rPr>
        <w:t>steering mode is used;</w:t>
      </w:r>
    </w:p>
    <w:p>
      <w:pPr>
        <w:ind w:left="568" w:hanging="284"/>
        <w:rPr>
          <w:rFonts w:eastAsia="맑은 고딕"/>
        </w:rPr>
      </w:pPr>
      <w:ins w:id="35" w:author="Myungjune@LGE" w:date="2021-02-18T14:57:00Z">
        <w:r>
          <w:rPr>
            <w:rFonts w:eastAsia="맑은 고딕"/>
          </w:rPr>
          <w:t>-</w:t>
        </w:r>
        <w:r>
          <w:rPr>
            <w:rFonts w:eastAsia="맑은 고딕"/>
          </w:rPr>
          <w:tab/>
          <w:t>Messages to allow for Packet Loss Rate (PLR) measurements, i.e. when the "Load Balancing" steering mode is used;</w:t>
        </w:r>
      </w:ins>
    </w:p>
    <w:p>
      <w:pPr>
        <w:ind w:left="568" w:hanging="284"/>
        <w:rPr>
          <w:rFonts w:eastAsia="맑은 고딕"/>
        </w:rPr>
      </w:pPr>
      <w:r>
        <w:rPr>
          <w:rFonts w:eastAsia="맑은 고딕"/>
        </w:rPr>
        <w:t>-</w:t>
      </w:r>
      <w:r>
        <w:rPr>
          <w:rFonts w:eastAsia="맑은 고딕"/>
        </w:rPr>
        <w:tab/>
        <w:t>Messages for reporting Access availability/unavailability by the UE to the UPF.</w:t>
      </w:r>
    </w:p>
    <w:p>
      <w:pPr>
        <w:rPr>
          <w:rFonts w:eastAsia="맑은 고딕"/>
        </w:rPr>
      </w:pPr>
      <w:r>
        <w:rPr>
          <w:rFonts w:eastAsia="맑은 고딕"/>
        </w:rPr>
        <w:t>The PMF protocol is specified in TS 24.193 [109].</w:t>
      </w:r>
    </w:p>
    <w:p>
      <w:pPr>
        <w:rPr>
          <w:rFonts w:eastAsia="맑은 고딕"/>
        </w:rPr>
      </w:pPr>
      <w:r>
        <w:rPr>
          <w:rFonts w:eastAsia="맑은 고딕"/>
        </w:rPr>
        <w:t xml:space="preserve">The PMF protocol messages </w:t>
      </w:r>
      <w:ins w:id="36" w:author="Myungjune@LGE" w:date="2021-02-18T14:57:00Z">
        <w:r>
          <w:rPr>
            <w:rFonts w:eastAsia="맑은 고딕"/>
          </w:rPr>
          <w:t xml:space="preserve">used for access availability/unavailability reports </w:t>
        </w:r>
      </w:ins>
      <w:del w:id="37" w:author="Myungjune@LGE" w:date="2021-02-18T14:57:00Z">
        <w:r>
          <w:rPr>
            <w:rFonts w:eastAsia="맑은 고딕"/>
          </w:rPr>
          <w:delText xml:space="preserve">exchanged between the UE and UPF </w:delText>
        </w:r>
      </w:del>
      <w:r>
        <w:rPr>
          <w:rFonts w:eastAsia="맑은 고딕"/>
        </w:rPr>
        <w:t xml:space="preserve">shall </w:t>
      </w:r>
      <w:ins w:id="38" w:author="Myungjune@LGE" w:date="2021-02-18T14:57:00Z">
        <w:r>
          <w:rPr>
            <w:rFonts w:eastAsia="맑은 고딕"/>
          </w:rPr>
          <w:t>be sent on the default QoS Flow, i.</w:t>
        </w:r>
      </w:ins>
      <w:ins w:id="39" w:author="Myungjune@LGE" w:date="2021-02-18T14:58:00Z">
        <w:r>
          <w:rPr>
            <w:rFonts w:eastAsia="맑은 고딕"/>
          </w:rPr>
          <w:t xml:space="preserve">e. </w:t>
        </w:r>
      </w:ins>
      <w:del w:id="40" w:author="Myungjune@LGE" w:date="2021-02-18T14:58:00Z">
        <w:r>
          <w:rPr>
            <w:rFonts w:eastAsia="맑은 고딕"/>
          </w:rPr>
          <w:delText xml:space="preserve">use </w:delText>
        </w:r>
      </w:del>
      <w:r>
        <w:rPr>
          <w:rFonts w:eastAsia="맑은 고딕"/>
        </w:rPr>
        <w:t>the QoS Flow associated with default QoS rule</w:t>
      </w:r>
      <w:del w:id="41" w:author="Myungjune@LGE" w:date="2021-02-18T14:58:00Z">
        <w:r>
          <w:rPr>
            <w:rFonts w:eastAsia="맑은 고딕"/>
          </w:rPr>
          <w:delText xml:space="preserve"> over the available access(es)</w:delText>
        </w:r>
      </w:del>
      <w:r>
        <w:rPr>
          <w:rFonts w:eastAsia="맑은 고딕"/>
        </w:rPr>
        <w:t>.</w:t>
      </w:r>
      <w:ins w:id="42" w:author="Myungjune@LGE" w:date="2021-02-18T14:58:00Z">
        <w:r>
          <w:rPr>
            <w:rFonts w:eastAsia="맑은 고딕"/>
          </w:rPr>
          <w:t xml:space="preserve"> The PMF protocol messages used for access performance measurements shall be sent either on the default QoS Flow, or on the target QoS Flow, as specified above.</w:t>
        </w:r>
      </w:ins>
    </w:p>
    <w:p>
      <w:pPr>
        <w:rPr>
          <w:rFonts w:eastAsia="맑은 고딕"/>
        </w:rPr>
      </w:pPr>
      <w:r>
        <w:rPr>
          <w:rFonts w:eastAsia="맑은 고딕"/>
        </w:rPr>
        <w:t>The QoS Flow associated with default QoS rule for MA PDU Session is Non-GBR QoS Flow.</w:t>
      </w:r>
    </w:p>
    <w:p>
      <w:pPr>
        <w:rPr>
          <w:rFonts w:eastAsia="맑은 고딕"/>
        </w:rPr>
      </w:pPr>
      <w:r>
        <w:rPr>
          <w:rFonts w:eastAsia="맑은 고딕"/>
        </w:rPr>
        <w:t>The UE shall not apply the ATSSS rules and the UPF shall not apply the MAR rules for the PMF protocol messages.</w:t>
      </w:r>
    </w:p>
    <w:p>
      <w:pPr>
        <w:rPr>
          <w:rFonts w:eastAsia="맑은 고딕"/>
        </w:rPr>
      </w:pPr>
      <w:r>
        <w:rPr>
          <w:rFonts w:eastAsia="맑은 고딕"/>
        </w:rP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measurements using PMF as the UE and UPF can use measurements available at the MPTCP layer.</w:t>
      </w:r>
    </w:p>
    <w:p>
      <w:pPr>
        <w:keepNext/>
        <w:keepLines/>
        <w:spacing w:before="120"/>
        <w:ind w:left="1418" w:hanging="1418"/>
        <w:outlineLvl w:val="3"/>
        <w:rPr>
          <w:rFonts w:ascii="Arial" w:eastAsia="맑은 고딕" w:hAnsi="Arial"/>
          <w:sz w:val="24"/>
        </w:rPr>
      </w:pPr>
      <w:bookmarkStart w:id="43" w:name="_Toc20150138"/>
      <w:bookmarkStart w:id="44" w:name="_Toc27846940"/>
      <w:bookmarkStart w:id="45" w:name="_Toc36188071"/>
      <w:bookmarkStart w:id="46" w:name="_Toc45183976"/>
      <w:bookmarkStart w:id="47" w:name="_Toc47342818"/>
      <w:bookmarkStart w:id="48" w:name="_Toc51769520"/>
      <w:bookmarkStart w:id="49" w:name="_Toc59095872"/>
      <w:r>
        <w:rPr>
          <w:rFonts w:ascii="Arial" w:eastAsia="맑은 고딕" w:hAnsi="Arial"/>
          <w:sz w:val="24"/>
        </w:rPr>
        <w:t>5.32.5.2</w:t>
      </w:r>
      <w:r>
        <w:rPr>
          <w:rFonts w:ascii="Arial" w:eastAsia="맑은 고딕" w:hAnsi="Arial"/>
          <w:sz w:val="24"/>
        </w:rPr>
        <w:tab/>
        <w:t>Round Trip Time Measurements</w:t>
      </w:r>
      <w:bookmarkEnd w:id="43"/>
      <w:bookmarkEnd w:id="44"/>
      <w:bookmarkEnd w:id="45"/>
      <w:bookmarkEnd w:id="46"/>
      <w:bookmarkEnd w:id="47"/>
      <w:bookmarkEnd w:id="48"/>
      <w:bookmarkEnd w:id="49"/>
    </w:p>
    <w:p>
      <w:pPr>
        <w:rPr>
          <w:rFonts w:eastAsia="맑은 고딕"/>
        </w:rPr>
      </w:pPr>
      <w:r>
        <w:rPr>
          <w:rFonts w:eastAsia="맑은 고딕"/>
        </w:rPr>
        <w:t xml:space="preserve">RTT measurements can be conducted by the UE and UPF independently. There is no measurement reporting from one side to the other. RTT measurements are defined to support the "Smallest Delay" </w:t>
      </w:r>
      <w:ins w:id="50" w:author="Myungjune@LGE" w:date="2021-02-18T14:58:00Z">
        <w:r>
          <w:rPr>
            <w:rFonts w:eastAsia="맑은 고딕"/>
          </w:rPr>
          <w:t xml:space="preserve">or "Load Balancing" </w:t>
        </w:r>
      </w:ins>
      <w:r>
        <w:rPr>
          <w:rFonts w:eastAsia="맑은 고딕"/>
        </w:rPr>
        <w:t>steering mode.</w:t>
      </w:r>
    </w:p>
    <w:p>
      <w:pPr>
        <w:rPr>
          <w:rFonts w:eastAsia="맑은 고딕"/>
        </w:rPr>
      </w:pPr>
      <w:r>
        <w:rPr>
          <w:rFonts w:eastAsia="맑은 고딕"/>
        </w:rPr>
        <w:t>The estimation of the RTT by the UE and by the UPF is based on the following mechanism:</w:t>
      </w:r>
    </w:p>
    <w:p>
      <w:pPr>
        <w:ind w:left="568" w:hanging="284"/>
        <w:rPr>
          <w:rFonts w:eastAsia="맑은 고딕"/>
        </w:rPr>
      </w:pPr>
      <w:r>
        <w:rPr>
          <w:rFonts w:eastAsia="맑은 고딕"/>
        </w:rPr>
        <w:t>1.</w:t>
      </w:r>
      <w:r>
        <w:rPr>
          <w:rFonts w:eastAsia="맑은 고딕"/>
        </w:rP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pPr>
        <w:ind w:left="568" w:hanging="284"/>
        <w:rPr>
          <w:rFonts w:eastAsia="맑은 고딕"/>
        </w:rPr>
      </w:pPr>
      <w:r>
        <w:rPr>
          <w:rFonts w:eastAsia="맑은 고딕"/>
        </w:rPr>
        <w:t>2.</w:t>
      </w:r>
      <w:r>
        <w:rPr>
          <w:rFonts w:eastAsia="맑은 고딕"/>
        </w:rPr>
        <w:tab/>
        <w:t>In the case of a MA PDU Session of IP type:</w:t>
      </w:r>
    </w:p>
    <w:p>
      <w:pPr>
        <w:ind w:left="851" w:hanging="284"/>
        <w:rPr>
          <w:rFonts w:eastAsia="맑은 고딕"/>
        </w:rPr>
      </w:pPr>
      <w:r>
        <w:rPr>
          <w:rFonts w:eastAsia="맑은 고딕"/>
        </w:rPr>
        <w:t>-</w:t>
      </w:r>
      <w:r>
        <w:rPr>
          <w:rFonts w:eastAsia="맑은 고딕"/>
        </w:rP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pPr>
        <w:ind w:left="851" w:hanging="284"/>
        <w:rPr>
          <w:rFonts w:eastAsia="맑은 고딕"/>
        </w:rPr>
      </w:pPr>
      <w:r>
        <w:rPr>
          <w:rFonts w:eastAsia="맑은 고딕"/>
        </w:rPr>
        <w:t>-</w:t>
      </w:r>
      <w:r>
        <w:rPr>
          <w:rFonts w:eastAsia="맑은 고딕"/>
        </w:rPr>
        <w:tab/>
        <w: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pPr>
        <w:ind w:left="568" w:hanging="284"/>
        <w:rPr>
          <w:rFonts w:eastAsia="맑은 고딕"/>
        </w:rPr>
      </w:pPr>
      <w:r>
        <w:rPr>
          <w:rFonts w:eastAsia="맑은 고딕"/>
        </w:rPr>
        <w:lastRenderedPageBreak/>
        <w:t>3.</w:t>
      </w:r>
      <w:r>
        <w:rPr>
          <w:rFonts w:eastAsia="맑은 고딕"/>
        </w:rPr>
        <w:tab/>
        <w:t>In the case of a MA PDU Session of Ethernet type:</w:t>
      </w:r>
    </w:p>
    <w:p>
      <w:pPr>
        <w:ind w:left="851" w:hanging="284"/>
        <w:rPr>
          <w:rFonts w:eastAsia="맑은 고딕"/>
        </w:rPr>
      </w:pPr>
      <w:r>
        <w:rPr>
          <w:rFonts w:eastAsia="맑은 고딕"/>
        </w:rPr>
        <w:t>-</w:t>
      </w:r>
      <w:r>
        <w:rPr>
          <w:rFonts w:eastAsia="맑은 고딕"/>
        </w:rPr>
        <w:tab/>
        <w:t xml:space="preserve">The PMF in the UE sends PMF messages to the PMF in the UPF over Ethernet. The </w:t>
      </w:r>
      <w:proofErr w:type="spellStart"/>
      <w:r>
        <w:rPr>
          <w:rFonts w:eastAsia="맑은 고딕"/>
        </w:rPr>
        <w:t>Ethertype</w:t>
      </w:r>
      <w:proofErr w:type="spellEnd"/>
      <w:r>
        <w:rPr>
          <w:rFonts w:eastAsia="맑은 고딕"/>
        </w:rPr>
        <w:t xml:space="preserve"> is the </w:t>
      </w:r>
      <w:proofErr w:type="spellStart"/>
      <w:r>
        <w:rPr>
          <w:rFonts w:eastAsia="맑은 고딕"/>
        </w:rPr>
        <w:t>Ethertype</w:t>
      </w:r>
      <w:proofErr w:type="spellEnd"/>
      <w:r>
        <w:rPr>
          <w:rFonts w:eastAsia="맑은 고딕"/>
        </w:rP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pPr>
        <w:ind w:left="851" w:hanging="284"/>
        <w:rPr>
          <w:rFonts w:eastAsia="맑은 고딕"/>
        </w:rPr>
      </w:pPr>
      <w:r>
        <w:rPr>
          <w:rFonts w:eastAsia="맑은 고딕"/>
        </w:rPr>
        <w:t>-</w:t>
      </w:r>
      <w:r>
        <w:rPr>
          <w:rFonts w:eastAsia="맑은 고딕"/>
        </w:rPr>
        <w:tab/>
        <w:t xml:space="preserve">The PMF in the UPF sends PMF messages to the PMF in the UE over Ethernet. The </w:t>
      </w:r>
      <w:proofErr w:type="spellStart"/>
      <w:r>
        <w:rPr>
          <w:rFonts w:eastAsia="맑은 고딕"/>
        </w:rPr>
        <w:t>Ethertype</w:t>
      </w:r>
      <w:proofErr w:type="spellEnd"/>
      <w:r>
        <w:rPr>
          <w:rFonts w:eastAsia="맑은 고딕"/>
        </w:rPr>
        <w:t xml:space="preserve"> is the same </w:t>
      </w:r>
      <w:proofErr w:type="spellStart"/>
      <w:r>
        <w:rPr>
          <w:rFonts w:eastAsia="맑은 고딕"/>
        </w:rPr>
        <w:t>Ethertype</w:t>
      </w:r>
      <w:proofErr w:type="spellEnd"/>
      <w:r>
        <w:rPr>
          <w:rFonts w:eastAsia="맑은 고딕"/>
        </w:rP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pPr>
        <w:ind w:left="568" w:hanging="284"/>
        <w:rPr>
          <w:rFonts w:eastAsia="맑은 고딕"/>
        </w:rPr>
      </w:pPr>
      <w:r>
        <w:rPr>
          <w:rFonts w:eastAsia="맑은 고딕"/>
        </w:rPr>
        <w:t>4.</w:t>
      </w:r>
      <w:r>
        <w:rPr>
          <w:rFonts w:eastAsia="맑은 고딕"/>
        </w:rP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pPr>
        <w:ind w:left="568" w:hanging="284"/>
        <w:rPr>
          <w:rFonts w:eastAsia="맑은 고딕"/>
        </w:rPr>
      </w:pPr>
      <w:r>
        <w:rPr>
          <w:rFonts w:eastAsia="맑은 고딕"/>
        </w:rPr>
        <w:t>5.</w:t>
      </w:r>
      <w:r>
        <w:rPr>
          <w:rFonts w:eastAsia="맑은 고딕"/>
        </w:rPr>
        <w:tab/>
        <w:t xml:space="preserve">The UE and the UPF derive an estimation of the average RTT over an access type </w:t>
      </w:r>
      <w:ins w:id="51" w:author="Myungjune@LGE" w:date="2021-02-18T14:59:00Z">
        <w:r>
          <w:rPr>
            <w:rFonts w:eastAsia="맑은 고딕"/>
          </w:rPr>
          <w:t xml:space="preserve">and QoS Flow </w:t>
        </w:r>
      </w:ins>
      <w:r>
        <w:rPr>
          <w:rFonts w:eastAsia="맑은 고딕"/>
        </w:rPr>
        <w:t>by averaging the RTT measurements obtained over this access</w:t>
      </w:r>
      <w:ins w:id="52" w:author="Myungjune@LGE" w:date="2021-02-18T14:59:00Z">
        <w:r>
          <w:rPr>
            <w:rFonts w:eastAsia="맑은 고딕"/>
          </w:rPr>
          <w:t xml:space="preserve"> type and QoS Flow</w:t>
        </w:r>
      </w:ins>
      <w:r>
        <w:rPr>
          <w:rFonts w:eastAsia="맑은 고딕"/>
        </w:rPr>
        <w:t>.</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F1932-8D71-451F-A98E-79951C022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1802</Words>
  <Characters>10275</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15</cp:revision>
  <cp:lastPrinted>1899-12-31T23:00:00Z</cp:lastPrinted>
  <dcterms:created xsi:type="dcterms:W3CDTF">2021-02-18T05:51:00Z</dcterms:created>
  <dcterms:modified xsi:type="dcterms:W3CDTF">2021-02-18T22:43:00Z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